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18F" w:rsidRDefault="000C6B1D">
      <w:pPr>
        <w:pStyle w:val="Titolo"/>
      </w:pPr>
      <w:r>
        <w:t>GRIGLIA DI VALUTAZIONE</w:t>
      </w:r>
    </w:p>
    <w:p w:rsidR="0031018F" w:rsidRDefault="000C6B1D">
      <w:pPr>
        <w:spacing w:after="200"/>
        <w:jc w:val="center"/>
      </w:pPr>
      <w:r>
        <w:rPr>
          <w:b/>
          <w:color w:val="666666"/>
          <w:sz w:val="20"/>
        </w:rPr>
        <w:t>Uso interno - Procedura co</w:t>
      </w:r>
      <w:bookmarkStart w:id="0" w:name="_GoBack"/>
      <w:bookmarkEnd w:id="0"/>
      <w:r>
        <w:rPr>
          <w:b/>
          <w:color w:val="666666"/>
          <w:sz w:val="20"/>
        </w:rPr>
        <w:t>mparativa REF 484 - Sportello Matrioska Carate - PROG-989</w:t>
      </w:r>
    </w:p>
    <w:p w:rsidR="0031018F" w:rsidRDefault="000C6B1D">
      <w:r>
        <w:t xml:space="preserve">La griglia traduce in punteggio i criteri indicati nell’Avviso. Il criterio territoriale è volutamente rilevante perché il servizio richiede </w:t>
      </w:r>
      <w:r>
        <w:t>capacità di raccordo immediato con reti e servizi della Brianza. Non viene attribuito punteggio alla mera sede geografica dell’offerente.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8"/>
      </w:tblGrid>
      <w:tr w:rsidR="0031018F">
        <w:trPr>
          <w:tblHeader/>
          <w:jc w:val="center"/>
        </w:trPr>
        <w:tc>
          <w:tcPr>
            <w:tcW w:w="1928" w:type="dxa"/>
            <w:shd w:val="clear" w:color="auto" w:fill="17365D"/>
            <w:tcMar>
              <w:top w:w="55" w:type="dxa"/>
              <w:left w:w="45" w:type="dxa"/>
              <w:bottom w:w="55" w:type="dxa"/>
              <w:right w:w="45" w:type="dxa"/>
            </w:tcMar>
          </w:tcPr>
          <w:p w:rsidR="0031018F" w:rsidRDefault="000C6B1D">
            <w:r>
              <w:rPr>
                <w:b/>
                <w:color w:val="FFFFFF"/>
                <w:sz w:val="15"/>
              </w:rPr>
              <w:t>Cod.</w:t>
            </w:r>
          </w:p>
        </w:tc>
        <w:tc>
          <w:tcPr>
            <w:tcW w:w="1928" w:type="dxa"/>
            <w:shd w:val="clear" w:color="auto" w:fill="17365D"/>
            <w:tcMar>
              <w:top w:w="55" w:type="dxa"/>
              <w:left w:w="45" w:type="dxa"/>
              <w:bottom w:w="55" w:type="dxa"/>
              <w:right w:w="45" w:type="dxa"/>
            </w:tcMar>
          </w:tcPr>
          <w:p w:rsidR="0031018F" w:rsidRDefault="000C6B1D">
            <w:r>
              <w:rPr>
                <w:b/>
                <w:color w:val="FFFFFF"/>
                <w:sz w:val="15"/>
              </w:rPr>
              <w:t>Criterio/Subcriterio</w:t>
            </w:r>
          </w:p>
        </w:tc>
        <w:tc>
          <w:tcPr>
            <w:tcW w:w="1928" w:type="dxa"/>
            <w:shd w:val="clear" w:color="auto" w:fill="17365D"/>
            <w:tcMar>
              <w:top w:w="55" w:type="dxa"/>
              <w:left w:w="45" w:type="dxa"/>
              <w:bottom w:w="55" w:type="dxa"/>
              <w:right w:w="45" w:type="dxa"/>
            </w:tcMar>
          </w:tcPr>
          <w:p w:rsidR="0031018F" w:rsidRDefault="000C6B1D">
            <w:r>
              <w:rPr>
                <w:b/>
                <w:color w:val="FFFFFF"/>
                <w:sz w:val="15"/>
              </w:rPr>
              <w:t>Modalità di attribuzione</w:t>
            </w:r>
          </w:p>
        </w:tc>
        <w:tc>
          <w:tcPr>
            <w:tcW w:w="1928" w:type="dxa"/>
            <w:shd w:val="clear" w:color="auto" w:fill="17365D"/>
            <w:tcMar>
              <w:top w:w="55" w:type="dxa"/>
              <w:left w:w="45" w:type="dxa"/>
              <w:bottom w:w="55" w:type="dxa"/>
              <w:right w:w="45" w:type="dxa"/>
            </w:tcMar>
          </w:tcPr>
          <w:p w:rsidR="0031018F" w:rsidRDefault="000C6B1D">
            <w:r>
              <w:rPr>
                <w:b/>
                <w:color w:val="FFFFFF"/>
                <w:sz w:val="15"/>
              </w:rPr>
              <w:t>Max</w:t>
            </w:r>
          </w:p>
        </w:tc>
        <w:tc>
          <w:tcPr>
            <w:tcW w:w="1928" w:type="dxa"/>
            <w:shd w:val="clear" w:color="auto" w:fill="17365D"/>
            <w:tcMar>
              <w:top w:w="55" w:type="dxa"/>
              <w:left w:w="45" w:type="dxa"/>
              <w:bottom w:w="55" w:type="dxa"/>
              <w:right w:w="45" w:type="dxa"/>
            </w:tcMar>
          </w:tcPr>
          <w:p w:rsidR="0031018F" w:rsidRDefault="000C6B1D">
            <w:r>
              <w:rPr>
                <w:b/>
                <w:color w:val="FFFFFF"/>
                <w:sz w:val="15"/>
              </w:rPr>
              <w:t>Punti</w:t>
            </w:r>
          </w:p>
        </w:tc>
      </w:tr>
      <w:tr w:rsidR="0031018F" w:rsidTr="009A7FD0">
        <w:trPr>
          <w:jc w:val="center"/>
        </w:trPr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A1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 xml:space="preserve">Esperienze negli ultimi 5 anni in Provincia di Monza </w:t>
            </w:r>
            <w:r>
              <w:t>e Brianza in servizi pertinenti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Valutazione comparativa per pertinenza, durata, continuità, volume e risultati. Punteggio pieno per esperienza ampia, recente e continuativa in servizi direttamente comparabili.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15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 w:rsidTr="009A7FD0">
        <w:trPr>
          <w:jc w:val="center"/>
        </w:trPr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A2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 xml:space="preserve">Collaborazioni documentate con nodi </w:t>
            </w:r>
            <w:r>
              <w:t>istituzionali/sociali della rete brianzola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Valutazione di collaborazioni effettive con Ambiti/Comuni, ASST/servizi sociosanitari, CPI/CPIA, ETS e altri nodi. Premiare stabilità, pluralità e operatività dei raccordi.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10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 w:rsidTr="009A7FD0">
        <w:trPr>
          <w:jc w:val="center"/>
        </w:trPr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A3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Partecipazione a tavoli/reti/pro</w:t>
            </w:r>
            <w:r>
              <w:t>tocolli territoriali e conoscenza dell’Ambito di Carate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Valutazione della partecipazione effettiva a reti locali e della capacità di attivare raccordi immediati. Particolare rilievo a esperienze nell’Ambito di Carate Brianza.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10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 w:rsidTr="009A7FD0">
        <w:trPr>
          <w:jc w:val="center"/>
        </w:trPr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B1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Organizzazione delle a</w:t>
            </w:r>
            <w:r>
              <w:t>lmeno 2 aperture settimanali e itineranza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 xml:space="preserve">Chiarezza, fattibilità, continuità, copertura territoriale, luoghi di prossimità, </w:t>
            </w:r>
            <w:r>
              <w:lastRenderedPageBreak/>
              <w:t>gestione sostituzioni.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lastRenderedPageBreak/>
              <w:t>12</w:t>
            </w:r>
          </w:p>
        </w:tc>
        <w:tc>
          <w:tcPr>
            <w:tcW w:w="1928" w:type="dxa"/>
            <w:shd w:val="clear" w:color="auto" w:fill="auto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>
        <w:trPr>
          <w:jc w:val="center"/>
        </w:trPr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B2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Raccordo operativo con CCB e servizi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 xml:space="preserve">Flussi di comunicazione, modalità di invio, coordinamento e </w:t>
            </w:r>
            <w:r>
              <w:t>gestione dei casi.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8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>
        <w:trPr>
          <w:jc w:val="center"/>
        </w:trPr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C1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Strategia di individuazione e coinvolgimento dei 100 beneficiari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Canali di outreach, rete inviante, capacità di intercettazione, prevenzione duplicazioni, azioni correttive.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10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>
        <w:trPr>
          <w:jc w:val="center"/>
        </w:trPr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C2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Sistema di raccolta e controllo documentazione F</w:t>
            </w:r>
            <w:r>
              <w:t>AMI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Organizzazione dei fascicoli, verifiche di completezza, trasmissione sicura, monitoraggio avanzamento.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10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>
        <w:trPr>
          <w:jc w:val="center"/>
        </w:trPr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D1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Esperienza e competenze delle risorse proposte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 xml:space="preserve">Coerenza dei CV con orientamento, migrazione, accesso ai servizi, lavoro di rete, </w:t>
            </w:r>
            <w:r>
              <w:t>intercultura.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10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>
        <w:trPr>
          <w:jc w:val="center"/>
        </w:trPr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D2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Continuità organizzativa del gruppo di lavoro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Referente, sostituzioni, presidio, disponibilità, equilibrio dei ruoli.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5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  <w:tr w:rsidR="0031018F">
        <w:trPr>
          <w:jc w:val="center"/>
        </w:trPr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E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Offerta economica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r>
              <w:t>Formula: 10 x (prezzo più basso / prezzo offerto).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0C6B1D">
            <w:pPr>
              <w:jc w:val="center"/>
            </w:pPr>
            <w:r>
              <w:t>10</w:t>
            </w:r>
          </w:p>
        </w:tc>
        <w:tc>
          <w:tcPr>
            <w:tcW w:w="1928" w:type="dxa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31018F" w:rsidRDefault="0031018F"/>
        </w:tc>
      </w:tr>
    </w:tbl>
    <w:p w:rsidR="0031018F" w:rsidRDefault="000C6B1D">
      <w:r>
        <w:rPr>
          <w:b/>
        </w:rPr>
        <w:t xml:space="preserve">Totale tecnico: 90 punti. Soglia </w:t>
      </w:r>
      <w:r>
        <w:rPr>
          <w:b/>
        </w:rPr>
        <w:t>minima tecnica: 55/90. Totale economico: 10 punti. Totale complessivo: 100 punti.</w:t>
      </w:r>
    </w:p>
    <w:p w:rsidR="0031018F" w:rsidRDefault="000C6B1D">
      <w:pPr>
        <w:pStyle w:val="Titolo1"/>
      </w:pPr>
      <w:r>
        <w:t>Indicazioni per la commissione</w:t>
      </w:r>
    </w:p>
    <w:p w:rsidR="0031018F" w:rsidRDefault="000C6B1D">
      <w:pPr>
        <w:pStyle w:val="Puntoelenco"/>
        <w:ind w:left="0"/>
      </w:pPr>
      <w:r>
        <w:t>attribuire punteggi sulla base di elementi effettivamente documentati o adeguatamente descritti;</w:t>
      </w:r>
    </w:p>
    <w:p w:rsidR="0031018F" w:rsidRDefault="000C6B1D">
      <w:pPr>
        <w:pStyle w:val="Puntoelenco"/>
        <w:ind w:left="0"/>
      </w:pPr>
      <w:r>
        <w:t>non attribuire punteggio aggiuntivo per il sol</w:t>
      </w:r>
      <w:r>
        <w:t>o fatto che l’offerente abbia sede in Brianza;</w:t>
      </w:r>
    </w:p>
    <w:p w:rsidR="0031018F" w:rsidRDefault="000C6B1D">
      <w:pPr>
        <w:pStyle w:val="Puntoelenco"/>
        <w:ind w:left="0"/>
      </w:pPr>
      <w:r>
        <w:t>motivare sinteticamente i punteggi discrezionali, con particolare attenzione ai criteri A, B e C;</w:t>
      </w:r>
    </w:p>
    <w:p w:rsidR="0031018F" w:rsidRDefault="000C6B1D">
      <w:pPr>
        <w:pStyle w:val="Puntoelenco"/>
        <w:ind w:left="0"/>
      </w:pPr>
      <w:r>
        <w:t>verificare la sostenibilità dell’offerta rispetto alla durata fino al termine del progetto e all’obbligo minimo</w:t>
      </w:r>
      <w:r>
        <w:t xml:space="preserve"> di due aperture settimanali;</w:t>
      </w:r>
    </w:p>
    <w:p w:rsidR="0031018F" w:rsidRDefault="000C6B1D">
      <w:pPr>
        <w:pStyle w:val="Puntoelenco"/>
        <w:ind w:left="0"/>
      </w:pPr>
      <w:r>
        <w:lastRenderedPageBreak/>
        <w:t>in caso di offerte anormalmente basse o non coerenti, richiedere chiarimenti prima dell’affidamento.</w:t>
      </w:r>
    </w:p>
    <w:p w:rsidR="0031018F" w:rsidRDefault="000C6B1D">
      <w:r>
        <w:t>Offerente valutato: ______________________________________________________________</w:t>
      </w:r>
    </w:p>
    <w:p w:rsidR="0031018F" w:rsidRDefault="000C6B1D">
      <w:r>
        <w:t>Punteggio tecnico: ______ / 90     Puntegg</w:t>
      </w:r>
      <w:r>
        <w:t>io economico: ______ / 10     TOTALE: ______ / 100</w:t>
      </w:r>
    </w:p>
    <w:p w:rsidR="0031018F" w:rsidRDefault="000C6B1D">
      <w:r>
        <w:t>Motivazione sintetica / note:</w:t>
      </w:r>
    </w:p>
    <w:p w:rsidR="0031018F" w:rsidRDefault="000C6B1D">
      <w:r>
        <w:t>____________________________________________________________________________________________</w:t>
      </w:r>
    </w:p>
    <w:p w:rsidR="0031018F" w:rsidRDefault="000C6B1D">
      <w:r>
        <w:t>__________________________________________________________________________________</w:t>
      </w:r>
      <w:r>
        <w:t>__________</w:t>
      </w:r>
    </w:p>
    <w:p w:rsidR="0031018F" w:rsidRDefault="000C6B1D">
      <w:r>
        <w:t>____________________________________________________________________________________________</w:t>
      </w:r>
    </w:p>
    <w:p w:rsidR="0031018F" w:rsidRDefault="000C6B1D">
      <w:r>
        <w:t>____________________________________________________________________________________________</w:t>
      </w:r>
    </w:p>
    <w:p w:rsidR="0031018F" w:rsidRDefault="000C6B1D">
      <w:r>
        <w:t>___________________________________________________________</w:t>
      </w:r>
      <w:r>
        <w:t>_________________________________</w:t>
      </w:r>
    </w:p>
    <w:sectPr w:rsidR="0031018F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11" w:right="1134" w:bottom="964" w:left="1134" w:header="198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B1D" w:rsidRDefault="000C6B1D">
      <w:pPr>
        <w:spacing w:after="0" w:line="240" w:lineRule="auto"/>
      </w:pPr>
      <w:r>
        <w:separator/>
      </w:r>
    </w:p>
  </w:endnote>
  <w:endnote w:type="continuationSeparator" w:id="0">
    <w:p w:rsidR="000C6B1D" w:rsidRDefault="000C6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18F" w:rsidRDefault="000C6B1D">
    <w:pPr>
      <w:pStyle w:val="Pidipagina"/>
      <w:jc w:val="center"/>
    </w:pPr>
    <w:r>
      <w:rPr>
        <w:color w:val="666666"/>
        <w:sz w:val="15"/>
      </w:rPr>
      <w:t xml:space="preserve">Consorzio Comunità Brianza | LAB'IMPACT 2 - PROG-989 | REF 484   -   </w:t>
    </w:r>
    <w:r>
      <w:fldChar w:fldCharType="begin"/>
    </w:r>
    <w:r>
      <w:instrText>PAGE</w:instrText>
    </w:r>
    <w:r>
      <w:fldChar w:fldCharType="separate"/>
    </w:r>
    <w:r w:rsidR="009A7FD0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18F" w:rsidRDefault="000C6B1D">
    <w:pPr>
      <w:pStyle w:val="Pidipagina"/>
      <w:jc w:val="center"/>
    </w:pPr>
    <w:r>
      <w:rPr>
        <w:color w:val="666666"/>
        <w:sz w:val="15"/>
      </w:rPr>
      <w:t>Consorzio Comunità Brianza - via Gerardo dei Tintori 18, 20900 Monza (</w:t>
    </w:r>
    <w:r>
      <w:rPr>
        <w:color w:val="666666"/>
        <w:sz w:val="15"/>
      </w:rPr>
      <w:t>MB) - C.F./P.IVA 04352990966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B1D" w:rsidRDefault="000C6B1D">
      <w:pPr>
        <w:spacing w:after="0" w:line="240" w:lineRule="auto"/>
      </w:pPr>
      <w:r>
        <w:separator/>
      </w:r>
    </w:p>
  </w:footnote>
  <w:footnote w:type="continuationSeparator" w:id="0">
    <w:p w:rsidR="000C6B1D" w:rsidRDefault="000C6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18F" w:rsidRDefault="000C6B1D">
    <w:pPr>
      <w:pStyle w:val="Intestazione"/>
      <w:pBdr>
        <w:bottom w:val="single" w:sz="4" w:space="1" w:color="B7B7B7"/>
      </w:pBdr>
      <w:spacing w:after="40"/>
      <w:jc w:val="center"/>
    </w:pPr>
    <w:r>
      <w:rPr>
        <w:b/>
        <w:color w:val="17365D"/>
        <w:sz w:val="16"/>
      </w:rPr>
      <w:t>FAMI 2021-2027 | LAB'IMPACT - 2a ed. - PROG-989 | CUP E89I25001390007 | REF 484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18F" w:rsidRDefault="000C6B1D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6120000" cy="15727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bimpact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1572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6B1D"/>
    <w:rsid w:val="0015074B"/>
    <w:rsid w:val="0029639D"/>
    <w:rsid w:val="0031018F"/>
    <w:rsid w:val="00326F90"/>
    <w:rsid w:val="009A7FD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E59673D-92E6-47D9-8089-1365EB24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  <w:jc w:val="center"/>
    </w:pPr>
    <w:rPr>
      <w:rFonts w:asciiTheme="majorHAnsi" w:eastAsiaTheme="majorEastAsia" w:hAnsiTheme="majorHAnsi" w:cstheme="majorBidi"/>
      <w:b/>
      <w:color w:val="17365D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5DD176-F2AD-498C-995B-E0A764AD0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castellani.m</cp:lastModifiedBy>
  <cp:revision>2</cp:revision>
  <dcterms:created xsi:type="dcterms:W3CDTF">2013-12-23T23:15:00Z</dcterms:created>
  <dcterms:modified xsi:type="dcterms:W3CDTF">2026-10-06T08:50:00Z</dcterms:modified>
  <cp:category/>
</cp:coreProperties>
</file>